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29A" w:rsidRPr="00433788" w:rsidRDefault="00D5429A" w:rsidP="00433788">
      <w:pPr>
        <w:spacing w:line="480" w:lineRule="auto"/>
        <w:rPr>
          <w:rFonts w:ascii="Times New Roman" w:eastAsia="Calibri" w:hAnsi="Times New Roman" w:cs="Times New Roman"/>
          <w:sz w:val="24"/>
          <w:szCs w:val="24"/>
        </w:rPr>
      </w:pPr>
      <w:r w:rsidRPr="00433788">
        <w:rPr>
          <w:rFonts w:ascii="Times New Roman" w:eastAsia="Calibri" w:hAnsi="Times New Roman" w:cs="Times New Roman"/>
          <w:sz w:val="24"/>
          <w:szCs w:val="24"/>
        </w:rPr>
        <w:t>Student’s Name</w:t>
      </w:r>
    </w:p>
    <w:p w:rsidR="00D5429A" w:rsidRPr="00433788" w:rsidRDefault="00D5429A" w:rsidP="00433788">
      <w:pPr>
        <w:spacing w:line="480" w:lineRule="auto"/>
        <w:rPr>
          <w:rFonts w:ascii="Times New Roman" w:eastAsia="Calibri" w:hAnsi="Times New Roman" w:cs="Times New Roman"/>
          <w:sz w:val="24"/>
          <w:szCs w:val="24"/>
        </w:rPr>
      </w:pPr>
      <w:r w:rsidRPr="00433788">
        <w:rPr>
          <w:rFonts w:ascii="Times New Roman" w:eastAsia="Calibri" w:hAnsi="Times New Roman" w:cs="Times New Roman"/>
          <w:sz w:val="24"/>
          <w:szCs w:val="24"/>
        </w:rPr>
        <w:t>Professor’s Name</w:t>
      </w:r>
    </w:p>
    <w:p w:rsidR="00D5429A" w:rsidRPr="00433788" w:rsidRDefault="00D5429A" w:rsidP="00433788">
      <w:pPr>
        <w:spacing w:line="480" w:lineRule="auto"/>
        <w:rPr>
          <w:rFonts w:ascii="Times New Roman" w:eastAsia="Calibri" w:hAnsi="Times New Roman" w:cs="Times New Roman"/>
          <w:sz w:val="24"/>
          <w:szCs w:val="24"/>
        </w:rPr>
      </w:pPr>
      <w:r w:rsidRPr="00433788">
        <w:rPr>
          <w:rFonts w:ascii="Times New Roman" w:eastAsia="Calibri" w:hAnsi="Times New Roman" w:cs="Times New Roman"/>
          <w:sz w:val="24"/>
          <w:szCs w:val="24"/>
        </w:rPr>
        <w:t>Subject</w:t>
      </w:r>
    </w:p>
    <w:p w:rsidR="00D5429A" w:rsidRPr="00433788" w:rsidRDefault="00D5429A" w:rsidP="00433788">
      <w:pPr>
        <w:spacing w:line="480" w:lineRule="auto"/>
        <w:rPr>
          <w:rFonts w:ascii="Times New Roman" w:hAnsi="Times New Roman" w:cs="Times New Roman"/>
          <w:sz w:val="24"/>
          <w:szCs w:val="24"/>
        </w:rPr>
      </w:pPr>
      <w:r w:rsidRPr="00433788">
        <w:rPr>
          <w:rFonts w:ascii="Times New Roman" w:eastAsia="Calibri" w:hAnsi="Times New Roman" w:cs="Times New Roman"/>
          <w:sz w:val="24"/>
          <w:szCs w:val="24"/>
        </w:rPr>
        <w:t>DD Month YYYY</w:t>
      </w:r>
    </w:p>
    <w:p w:rsidR="00D5429A" w:rsidRPr="00433788" w:rsidRDefault="00D5429A" w:rsidP="00433788">
      <w:pPr>
        <w:spacing w:line="480" w:lineRule="auto"/>
        <w:jc w:val="center"/>
        <w:rPr>
          <w:rFonts w:ascii="Times New Roman" w:hAnsi="Times New Roman" w:cs="Times New Roman"/>
          <w:sz w:val="24"/>
          <w:szCs w:val="24"/>
        </w:rPr>
      </w:pPr>
      <w:bookmarkStart w:id="0" w:name="_GoBack"/>
      <w:r w:rsidRPr="00433788">
        <w:rPr>
          <w:rFonts w:ascii="Times New Roman" w:hAnsi="Times New Roman" w:cs="Times New Roman"/>
          <w:sz w:val="24"/>
          <w:szCs w:val="24"/>
        </w:rPr>
        <w:t>Gender Roles and Power</w:t>
      </w:r>
    </w:p>
    <w:bookmarkEnd w:id="0"/>
    <w:p w:rsidR="00AD37B2" w:rsidRPr="00433788" w:rsidRDefault="00D5429A" w:rsidP="00433788">
      <w:pPr>
        <w:spacing w:line="480" w:lineRule="auto"/>
        <w:rPr>
          <w:rFonts w:ascii="Times New Roman" w:eastAsia="Calibri" w:hAnsi="Times New Roman" w:cs="Times New Roman"/>
          <w:b/>
          <w:sz w:val="24"/>
          <w:szCs w:val="24"/>
        </w:rPr>
      </w:pPr>
      <w:r w:rsidRPr="00433788">
        <w:rPr>
          <w:rFonts w:ascii="Times New Roman" w:hAnsi="Times New Roman" w:cs="Times New Roman"/>
          <w:b/>
          <w:sz w:val="24"/>
          <w:szCs w:val="24"/>
        </w:rPr>
        <w:t>Introduction</w:t>
      </w:r>
    </w:p>
    <w:p w:rsidR="00E30E71" w:rsidRPr="00433788" w:rsidRDefault="00E30E71" w:rsidP="00433788">
      <w:pPr>
        <w:pStyle w:val="NormalWeb"/>
        <w:spacing w:before="0" w:beforeAutospacing="0" w:after="0" w:afterAutospacing="0" w:line="480" w:lineRule="auto"/>
        <w:ind w:firstLine="720"/>
        <w:rPr>
          <w:color w:val="1C1E29"/>
        </w:rPr>
      </w:pPr>
      <w:r w:rsidRPr="00433788">
        <w:rPr>
          <w:color w:val="1C1E29"/>
        </w:rPr>
        <w:t xml:space="preserve">In Shakespeare’s play “Twelfth Night”, the fate of a woman takes a different turn and expectation for gender roles. The play displays that the female characters could not move freely unless they are male-control represented. The play describes the role of women, which include the struggle of overcoming male control. For instance, in Shakespeare’s play for Viola to approach Lady Olivia, she had to become Cesario, a male character. In the play, only three women show gender roles to power; they are Olivia, the boss, Viola, a page and, Maria, a maiden. During Shakespeare’s time, women were held less important over men, and it was rare for them to have a significant role in the community. The objectification of a woman’s body and ownership expressed by a male voice displays the imprisonment of male control. </w:t>
      </w:r>
      <w:r w:rsidRPr="00433788">
        <w:rPr>
          <w:color w:val="1C1E29"/>
          <w:u w:val="single"/>
        </w:rPr>
        <w:t>Women should have control over their lives because it not only brings gender equality but also avoids imprisonment by male control.</w:t>
      </w:r>
    </w:p>
    <w:p w:rsidR="00E30E71" w:rsidRPr="00433788" w:rsidRDefault="00E30E71" w:rsidP="00433788">
      <w:pPr>
        <w:pStyle w:val="NormalWeb"/>
        <w:spacing w:before="0" w:beforeAutospacing="0" w:after="0" w:afterAutospacing="0" w:line="480" w:lineRule="auto"/>
        <w:ind w:firstLine="720"/>
        <w:rPr>
          <w:color w:val="1C1E29"/>
        </w:rPr>
      </w:pPr>
      <w:r w:rsidRPr="00433788">
        <w:rPr>
          <w:color w:val="1C1E29"/>
        </w:rPr>
        <w:t xml:space="preserve">The decision and the ability that Lady Olivia has of marring whoever she pleases is a power that she has that women in that era do not have. Since her father and brother died, Olivia has control over her life by vowing silence of </w:t>
      </w:r>
      <w:r w:rsidR="00446F1A" w:rsidRPr="00433788">
        <w:rPr>
          <w:color w:val="1C1E29"/>
        </w:rPr>
        <w:t>seven</w:t>
      </w:r>
      <w:r w:rsidRPr="00433788">
        <w:rPr>
          <w:color w:val="1C1E29"/>
        </w:rPr>
        <w:t xml:space="preserve"> years and chooses whoever to marry. She denotes that she wishes to marry someone who is less wealthy than her. The choice made is </w:t>
      </w:r>
      <w:r w:rsidRPr="00433788">
        <w:rPr>
          <w:color w:val="1C1E29"/>
        </w:rPr>
        <w:lastRenderedPageBreak/>
        <w:t xml:space="preserve">‘power rebellion’ because </w:t>
      </w:r>
      <w:r w:rsidR="00446F1A" w:rsidRPr="00433788">
        <w:rPr>
          <w:color w:val="1C1E29"/>
        </w:rPr>
        <w:t>is in control of her life and she can survive on her own</w:t>
      </w:r>
      <w:r w:rsidRPr="00433788">
        <w:rPr>
          <w:color w:val="1C1E29"/>
        </w:rPr>
        <w:t>. Viola struggles and obtains power by disguising herself as Cesario, for her to live successfully</w:t>
      </w:r>
      <w:r w:rsidR="00433788" w:rsidRPr="00433788">
        <w:rPr>
          <w:color w:val="1C1E29"/>
        </w:rPr>
        <w:t xml:space="preserve"> (</w:t>
      </w:r>
      <w:r w:rsidR="00433788" w:rsidRPr="00433788">
        <w:rPr>
          <w:color w:val="222222"/>
          <w:shd w:val="clear" w:color="auto" w:fill="FFFFFF"/>
        </w:rPr>
        <w:t>Hollander, 230</w:t>
      </w:r>
      <w:r w:rsidR="00433788" w:rsidRPr="00433788">
        <w:rPr>
          <w:color w:val="1C1E29"/>
        </w:rPr>
        <w:t>)</w:t>
      </w:r>
      <w:r w:rsidRPr="00433788">
        <w:rPr>
          <w:color w:val="1C1E29"/>
        </w:rPr>
        <w:t xml:space="preserve">. </w:t>
      </w:r>
      <w:r w:rsidR="00446F1A" w:rsidRPr="00433788">
        <w:rPr>
          <w:color w:val="1C1E29"/>
        </w:rPr>
        <w:t>The captain changes her into a man, and it is shown by</w:t>
      </w:r>
      <w:r w:rsidRPr="00433788">
        <w:rPr>
          <w:color w:val="1C1E29"/>
        </w:rPr>
        <w:t>: “Conceal me what I am, and be my aid, for such disguise as haply shall become”.  At this time, a woman disguising herself to a man would be looked down upon, but Viola had to do it. Maria shows Malvolio “she is the boss” by writing a love letter to him claiming it is from Lady Olivia, who is being wooed by Malvolio. The act of Maria writing a letter to Malvolio displays the power she has over a man who is of low status.  When women have control over their life, it means they all have power over a man avoiding the imprisonment of male control.</w:t>
      </w:r>
    </w:p>
    <w:p w:rsidR="00E30E71" w:rsidRPr="00433788" w:rsidRDefault="00E30E71" w:rsidP="00433788">
      <w:pPr>
        <w:pStyle w:val="NormalWeb"/>
        <w:spacing w:before="0" w:beforeAutospacing="0" w:after="0" w:afterAutospacing="0" w:line="480" w:lineRule="auto"/>
        <w:ind w:firstLine="720"/>
        <w:rPr>
          <w:color w:val="1C1E29"/>
        </w:rPr>
      </w:pPr>
      <w:r w:rsidRPr="00433788">
        <w:rPr>
          <w:color w:val="1C1E29"/>
        </w:rPr>
        <w:t xml:space="preserve">There is a huge difference between masculinity and feminine power in the play. Women are considered weak vessel as a result of Eve’s sinfulness, and the word feminine was described as being from a combination of </w:t>
      </w:r>
      <w:r w:rsidRPr="00433788">
        <w:rPr>
          <w:rStyle w:val="Emphasis"/>
          <w:color w:val="1C1E29"/>
        </w:rPr>
        <w:t>fe</w:t>
      </w:r>
      <w:r w:rsidRPr="00433788">
        <w:rPr>
          <w:color w:val="1C1E29"/>
        </w:rPr>
        <w:t xml:space="preserve"> and </w:t>
      </w:r>
      <w:r w:rsidRPr="00433788">
        <w:rPr>
          <w:rStyle w:val="Emphasis"/>
          <w:color w:val="1C1E29"/>
        </w:rPr>
        <w:t>minus</w:t>
      </w:r>
      <w:r w:rsidRPr="00433788">
        <w:rPr>
          <w:color w:val="1C1E29"/>
        </w:rPr>
        <w:t xml:space="preserve">, meaning inferior.  A woman’s directive manner was considered as akin to a masculine role in courtship, traditionally. For instance, in the play, Olivia perceives the social implications of the masculinity part in the courtship. Responses from both man and a woman were taken different based on gender, that is, a woman could never give a man’s response. For instance, Hellena’s response: </w:t>
      </w:r>
      <w:r w:rsidR="00B6777B" w:rsidRPr="00433788">
        <w:rPr>
          <w:color w:val="1C1E29"/>
        </w:rPr>
        <w:t>“Have</w:t>
      </w:r>
      <w:r w:rsidRPr="00433788">
        <w:rPr>
          <w:color w:val="1C1E29"/>
        </w:rPr>
        <w:t xml:space="preserve"> a care for how you venture with me, Sir, lest I pick your Pocket, which will more vex our English Humor than an Italian fortune will please you” is considered aggressive</w:t>
      </w:r>
      <w:r w:rsidR="00433788" w:rsidRPr="00433788">
        <w:rPr>
          <w:color w:val="1C1E29"/>
        </w:rPr>
        <w:t xml:space="preserve"> (I, ii, 130-2)</w:t>
      </w:r>
      <w:r w:rsidRPr="00433788">
        <w:rPr>
          <w:color w:val="1C1E29"/>
        </w:rPr>
        <w:t>. Olivia assumes the masculinity poser and embraces feminine power by playing the head of the household, creating a sense of feminine power. She sustains the role and eventually has power over a man. Despite Hellena being feminine, she shows her power by playing a male part and proposes to her fiancée.  She had control over her life, so she was not imprisoned by male control.</w:t>
      </w:r>
    </w:p>
    <w:p w:rsidR="00E30E71" w:rsidRPr="00433788" w:rsidRDefault="00E30E71" w:rsidP="00433788">
      <w:pPr>
        <w:pStyle w:val="NormalWeb"/>
        <w:spacing w:before="0" w:beforeAutospacing="0" w:after="0" w:afterAutospacing="0" w:line="480" w:lineRule="auto"/>
        <w:ind w:firstLine="720"/>
        <w:rPr>
          <w:color w:val="1C1E29"/>
        </w:rPr>
      </w:pPr>
      <w:r w:rsidRPr="00433788">
        <w:rPr>
          <w:color w:val="1C1E29"/>
        </w:rPr>
        <w:t>Love and desire are the other factors that cause the distribution of power in the play. There is a love triangle in the play, which makes the play exciting until Olivia breaks it. Olivia falls in love with Sebastian resolving the love triangle, Orsino claiming he loves Viola. Love makes Hellena propose to her man, desire to live a flourishing and peaceful life; Olivia does not need a man in her life</w:t>
      </w:r>
      <w:r w:rsidR="00433788" w:rsidRPr="00433788">
        <w:rPr>
          <w:color w:val="1C1E29"/>
        </w:rPr>
        <w:t xml:space="preserve"> (Charles and Casey, 130 )</w:t>
      </w:r>
      <w:r w:rsidRPr="00433788">
        <w:rPr>
          <w:color w:val="1C1E29"/>
        </w:rPr>
        <w:t xml:space="preserve">. Malvolio is blinded by love for Olivia, making his feeling being hurt by Olivia’s maiden, Maria. Viola desires to have a flourishing life, so she disguises herself as a man to </w:t>
      </w:r>
      <w:r w:rsidR="00560BCF" w:rsidRPr="00433788">
        <w:rPr>
          <w:color w:val="1C1E29"/>
        </w:rPr>
        <w:t>fulfill</w:t>
      </w:r>
      <w:r w:rsidRPr="00433788">
        <w:rPr>
          <w:color w:val="1C1E29"/>
        </w:rPr>
        <w:t xml:space="preserve"> her desires.</w:t>
      </w:r>
    </w:p>
    <w:p w:rsidR="00E30E71" w:rsidRPr="005D64AC" w:rsidRDefault="00E30E71" w:rsidP="00433788">
      <w:pPr>
        <w:pStyle w:val="NormalWeb"/>
        <w:spacing w:before="0" w:beforeAutospacing="0" w:after="0" w:afterAutospacing="0" w:line="480" w:lineRule="auto"/>
        <w:rPr>
          <w:i/>
          <w:color w:val="1C1E29"/>
        </w:rPr>
      </w:pPr>
      <w:r w:rsidRPr="005D64AC">
        <w:rPr>
          <w:i/>
          <w:color w:val="1C1E29"/>
        </w:rPr>
        <w:t>Conclusion</w:t>
      </w:r>
    </w:p>
    <w:p w:rsidR="00CF4CA0" w:rsidRPr="00433788" w:rsidRDefault="00E30E71" w:rsidP="005D64AC">
      <w:pPr>
        <w:pStyle w:val="NormalWeb"/>
        <w:spacing w:before="0" w:beforeAutospacing="0" w:after="0" w:afterAutospacing="0" w:line="480" w:lineRule="auto"/>
        <w:ind w:firstLine="720"/>
        <w:rPr>
          <w:color w:val="1C1E29"/>
        </w:rPr>
      </w:pPr>
      <w:r w:rsidRPr="00433788">
        <w:rPr>
          <w:color w:val="1C1E29"/>
        </w:rPr>
        <w:t xml:space="preserve">Women having control of their lives prevent them from being in control by the male, which leads to the imprisonment of male control. Olivia </w:t>
      </w:r>
      <w:r w:rsidR="00446F1A" w:rsidRPr="00433788">
        <w:rPr>
          <w:color w:val="1C1E29"/>
        </w:rPr>
        <w:t>has different acts of having</w:t>
      </w:r>
      <w:r w:rsidRPr="00433788">
        <w:rPr>
          <w:color w:val="1C1E29"/>
        </w:rPr>
        <w:t xml:space="preserve"> power because she </w:t>
      </w:r>
      <w:r w:rsidR="00446F1A" w:rsidRPr="00433788">
        <w:rPr>
          <w:color w:val="1C1E29"/>
        </w:rPr>
        <w:t>breaks</w:t>
      </w:r>
      <w:r w:rsidRPr="00433788">
        <w:rPr>
          <w:color w:val="1C1E29"/>
        </w:rPr>
        <w:t xml:space="preserve"> the </w:t>
      </w:r>
      <w:r w:rsidR="00446F1A" w:rsidRPr="00433788">
        <w:rPr>
          <w:color w:val="1C1E29"/>
        </w:rPr>
        <w:t>system</w:t>
      </w:r>
      <w:r w:rsidRPr="00433788">
        <w:rPr>
          <w:color w:val="1C1E29"/>
        </w:rPr>
        <w:t xml:space="preserve"> and </w:t>
      </w:r>
      <w:r w:rsidR="00446F1A" w:rsidRPr="00433788">
        <w:rPr>
          <w:color w:val="1C1E29"/>
        </w:rPr>
        <w:t>concept</w:t>
      </w:r>
      <w:r w:rsidRPr="00433788">
        <w:rPr>
          <w:color w:val="1C1E29"/>
        </w:rPr>
        <w:t xml:space="preserve"> of women role during Shakespeare’s time. She had control of her life by having the ability to choose her husband. She also defied the rule of all time that states that a man should choose his woman, not the other way round. Choosing her husband signifies the crucial role that she plays for survival is essential that a male control. The play describes transformative powers which make people disguise their identities to ignite change to </w:t>
      </w:r>
      <w:r w:rsidR="00560BCF" w:rsidRPr="00433788">
        <w:rPr>
          <w:color w:val="1C1E29"/>
        </w:rPr>
        <w:t>fulfill</w:t>
      </w:r>
      <w:r w:rsidRPr="00433788">
        <w:rPr>
          <w:color w:val="1C1E29"/>
        </w:rPr>
        <w:t xml:space="preserve"> their desires. Women are stronger than men, and they do not need them for survival. The power that every woman </w:t>
      </w:r>
      <w:r w:rsidR="00B6777B" w:rsidRPr="00433788">
        <w:rPr>
          <w:color w:val="1C1E29"/>
        </w:rPr>
        <w:t>has</w:t>
      </w:r>
      <w:r w:rsidR="00560BCF" w:rsidRPr="00433788">
        <w:rPr>
          <w:color w:val="1C1E29"/>
        </w:rPr>
        <w:t xml:space="preserve"> </w:t>
      </w:r>
      <w:r w:rsidRPr="00433788">
        <w:rPr>
          <w:color w:val="1C1E29"/>
        </w:rPr>
        <w:t>is an added advantage over her life compared to when she depends on a man.</w:t>
      </w:r>
    </w:p>
    <w:p w:rsidR="005D64AC" w:rsidRDefault="005D64AC" w:rsidP="005D64AC">
      <w:pPr>
        <w:pStyle w:val="NormalWeb"/>
        <w:spacing w:before="0" w:beforeAutospacing="0" w:after="0" w:afterAutospacing="0" w:line="480" w:lineRule="auto"/>
        <w:jc w:val="center"/>
        <w:rPr>
          <w:color w:val="1C1E29"/>
        </w:rPr>
      </w:pPr>
    </w:p>
    <w:p w:rsidR="005D64AC" w:rsidRDefault="005D64AC" w:rsidP="005D64AC">
      <w:pPr>
        <w:pStyle w:val="NormalWeb"/>
        <w:spacing w:before="0" w:beforeAutospacing="0" w:after="0" w:afterAutospacing="0" w:line="480" w:lineRule="auto"/>
        <w:jc w:val="center"/>
        <w:rPr>
          <w:color w:val="1C1E29"/>
        </w:rPr>
      </w:pPr>
    </w:p>
    <w:p w:rsidR="005D64AC" w:rsidRDefault="005D64AC" w:rsidP="005D64AC">
      <w:pPr>
        <w:pStyle w:val="NormalWeb"/>
        <w:spacing w:before="0" w:beforeAutospacing="0" w:after="0" w:afterAutospacing="0" w:line="480" w:lineRule="auto"/>
        <w:jc w:val="center"/>
        <w:rPr>
          <w:color w:val="1C1E29"/>
        </w:rPr>
      </w:pPr>
    </w:p>
    <w:p w:rsidR="005D64AC" w:rsidRDefault="005D64AC" w:rsidP="005D64AC">
      <w:pPr>
        <w:pStyle w:val="NormalWeb"/>
        <w:spacing w:before="0" w:beforeAutospacing="0" w:after="0" w:afterAutospacing="0" w:line="480" w:lineRule="auto"/>
        <w:jc w:val="center"/>
        <w:rPr>
          <w:color w:val="1C1E29"/>
        </w:rPr>
      </w:pPr>
    </w:p>
    <w:p w:rsidR="005D64AC" w:rsidRDefault="005D64AC" w:rsidP="005D64AC">
      <w:pPr>
        <w:pStyle w:val="NormalWeb"/>
        <w:spacing w:before="0" w:beforeAutospacing="0" w:after="0" w:afterAutospacing="0" w:line="480" w:lineRule="auto"/>
        <w:jc w:val="center"/>
        <w:rPr>
          <w:color w:val="1C1E29"/>
        </w:rPr>
      </w:pPr>
    </w:p>
    <w:p w:rsidR="00FE6ABC" w:rsidRPr="00433788" w:rsidRDefault="00CF6882" w:rsidP="005D64AC">
      <w:pPr>
        <w:pStyle w:val="NormalWeb"/>
        <w:spacing w:before="0" w:beforeAutospacing="0" w:after="0" w:afterAutospacing="0" w:line="480" w:lineRule="auto"/>
        <w:jc w:val="center"/>
        <w:rPr>
          <w:color w:val="1C1E29"/>
        </w:rPr>
      </w:pPr>
      <w:r w:rsidRPr="00433788">
        <w:rPr>
          <w:color w:val="1C1E29"/>
        </w:rPr>
        <w:t>Work</w:t>
      </w:r>
      <w:r w:rsidR="00D5429A" w:rsidRPr="00433788">
        <w:rPr>
          <w:color w:val="1C1E29"/>
        </w:rPr>
        <w:t>s</w:t>
      </w:r>
      <w:r w:rsidRPr="00433788">
        <w:rPr>
          <w:color w:val="1C1E29"/>
        </w:rPr>
        <w:t xml:space="preserve"> Cited</w:t>
      </w:r>
    </w:p>
    <w:p w:rsidR="005D64AC" w:rsidRPr="005D64AC" w:rsidRDefault="005D64AC" w:rsidP="00B6777B">
      <w:pPr>
        <w:pStyle w:val="NormalWeb"/>
        <w:spacing w:before="0" w:beforeAutospacing="0" w:after="0" w:afterAutospacing="0" w:line="480" w:lineRule="auto"/>
        <w:ind w:left="720" w:hanging="720"/>
        <w:contextualSpacing/>
        <w:rPr>
          <w:shd w:val="clear" w:color="auto" w:fill="FFFFFF"/>
        </w:rPr>
      </w:pPr>
      <w:r w:rsidRPr="00433788">
        <w:rPr>
          <w:color w:val="555555"/>
          <w:shd w:val="clear" w:color="auto" w:fill="FFFFFF"/>
        </w:rPr>
        <w:t>"</w:t>
      </w:r>
      <w:r w:rsidRPr="005D64AC">
        <w:rPr>
          <w:shd w:val="clear" w:color="auto" w:fill="FFFFFF"/>
        </w:rPr>
        <w:t>The Transformative Power of the Character of Sebastian in “Twelfth Night”." </w:t>
      </w:r>
      <w:r w:rsidRPr="005D64AC">
        <w:rPr>
          <w:rStyle w:val="Emphasis"/>
        </w:rPr>
        <w:t>GradesFixer</w:t>
      </w:r>
      <w:r w:rsidR="00B6777B">
        <w:rPr>
          <w:shd w:val="clear" w:color="auto" w:fill="FFFFFF"/>
        </w:rPr>
        <w:t xml:space="preserve">, 29 </w:t>
      </w:r>
      <w:r w:rsidRPr="005D64AC">
        <w:rPr>
          <w:shd w:val="clear" w:color="auto" w:fill="FFFFFF"/>
        </w:rPr>
        <w:t xml:space="preserve">May. 2018. </w:t>
      </w:r>
    </w:p>
    <w:p w:rsidR="005D64AC" w:rsidRPr="005D64AC" w:rsidRDefault="005D64AC" w:rsidP="00B6777B">
      <w:pPr>
        <w:pStyle w:val="NormalWeb"/>
        <w:spacing w:before="0" w:beforeAutospacing="0" w:after="0" w:afterAutospacing="0" w:line="480" w:lineRule="auto"/>
        <w:ind w:left="720" w:hanging="720"/>
        <w:contextualSpacing/>
        <w:rPr>
          <w:shd w:val="clear" w:color="auto" w:fill="FFFFFF"/>
        </w:rPr>
      </w:pPr>
      <w:r w:rsidRPr="005D64AC">
        <w:rPr>
          <w:shd w:val="clear" w:color="auto" w:fill="FFFFFF"/>
        </w:rPr>
        <w:t>Charles, Casey. "Gender trouble in" Twelfth night"." </w:t>
      </w:r>
      <w:r w:rsidRPr="005D64AC">
        <w:rPr>
          <w:i/>
          <w:iCs/>
          <w:shd w:val="clear" w:color="auto" w:fill="FFFFFF"/>
        </w:rPr>
        <w:t>Theatre Journal</w:t>
      </w:r>
      <w:r w:rsidRPr="005D64AC">
        <w:rPr>
          <w:shd w:val="clear" w:color="auto" w:fill="FFFFFF"/>
        </w:rPr>
        <w:t> 49.2 (1997): 121-141.</w:t>
      </w:r>
    </w:p>
    <w:p w:rsidR="005D64AC" w:rsidRPr="005D64AC" w:rsidRDefault="005D64AC" w:rsidP="00B6777B">
      <w:pPr>
        <w:pStyle w:val="NormalWeb"/>
        <w:spacing w:before="0" w:beforeAutospacing="0" w:after="0" w:afterAutospacing="0" w:line="480" w:lineRule="auto"/>
        <w:ind w:left="720" w:hanging="720"/>
        <w:contextualSpacing/>
      </w:pPr>
      <w:r w:rsidRPr="005D64AC">
        <w:rPr>
          <w:shd w:val="clear" w:color="auto" w:fill="FFFFFF"/>
        </w:rPr>
        <w:t>Hollander, J. (1959). " Twelfth Night" and the Morality of Indulgence. </w:t>
      </w:r>
      <w:r w:rsidR="00B6777B">
        <w:rPr>
          <w:i/>
          <w:iCs/>
          <w:shd w:val="clear" w:color="auto" w:fill="FFFFFF"/>
        </w:rPr>
        <w:t xml:space="preserve">The Sewanee </w:t>
      </w:r>
      <w:r w:rsidRPr="005D64AC">
        <w:rPr>
          <w:i/>
          <w:iCs/>
          <w:shd w:val="clear" w:color="auto" w:fill="FFFFFF"/>
        </w:rPr>
        <w:t>Review</w:t>
      </w:r>
      <w:r w:rsidRPr="005D64AC">
        <w:rPr>
          <w:shd w:val="clear" w:color="auto" w:fill="FFFFFF"/>
        </w:rPr>
        <w:t>, </w:t>
      </w:r>
      <w:r w:rsidRPr="005D64AC">
        <w:rPr>
          <w:i/>
          <w:iCs/>
          <w:shd w:val="clear" w:color="auto" w:fill="FFFFFF"/>
        </w:rPr>
        <w:t>67</w:t>
      </w:r>
      <w:r w:rsidRPr="005D64AC">
        <w:rPr>
          <w:shd w:val="clear" w:color="auto" w:fill="FFFFFF"/>
        </w:rPr>
        <w:t>(2), 220-238.</w:t>
      </w:r>
    </w:p>
    <w:p w:rsidR="005D64AC" w:rsidRPr="005D64AC" w:rsidRDefault="005D64AC" w:rsidP="00B6777B">
      <w:pPr>
        <w:pStyle w:val="NormalWeb"/>
        <w:spacing w:before="0" w:beforeAutospacing="0" w:after="0" w:afterAutospacing="0" w:line="480" w:lineRule="auto"/>
        <w:ind w:left="720" w:hanging="720"/>
        <w:contextualSpacing/>
        <w:rPr>
          <w:shd w:val="clear" w:color="auto" w:fill="FFFFFF"/>
        </w:rPr>
      </w:pPr>
      <w:r w:rsidRPr="005D64AC">
        <w:rPr>
          <w:shd w:val="clear" w:color="auto" w:fill="FFFFFF"/>
        </w:rPr>
        <w:t>Shakespeare, William. </w:t>
      </w:r>
      <w:r w:rsidRPr="005D64AC">
        <w:rPr>
          <w:i/>
          <w:iCs/>
          <w:shd w:val="clear" w:color="auto" w:fill="FFFFFF"/>
        </w:rPr>
        <w:t>Twelfth night: or, What you will</w:t>
      </w:r>
      <w:r w:rsidRPr="005D64AC">
        <w:rPr>
          <w:shd w:val="clear" w:color="auto" w:fill="FFFFFF"/>
        </w:rPr>
        <w:t>. Vol. 13. Classic Books Company, 2001.</w:t>
      </w:r>
    </w:p>
    <w:sectPr w:rsidR="005D64AC" w:rsidRPr="005D64AC" w:rsidSect="00D5429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BDB" w:rsidRDefault="00356BDB" w:rsidP="00E30E71">
      <w:pPr>
        <w:spacing w:after="0" w:line="240" w:lineRule="auto"/>
      </w:pPr>
      <w:r>
        <w:separator/>
      </w:r>
    </w:p>
  </w:endnote>
  <w:endnote w:type="continuationSeparator" w:id="0">
    <w:p w:rsidR="00356BDB" w:rsidRDefault="00356BDB" w:rsidP="00E30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BDB" w:rsidRDefault="00356BDB" w:rsidP="00E30E71">
      <w:pPr>
        <w:spacing w:after="0" w:line="240" w:lineRule="auto"/>
      </w:pPr>
      <w:r>
        <w:separator/>
      </w:r>
    </w:p>
  </w:footnote>
  <w:footnote w:type="continuationSeparator" w:id="0">
    <w:p w:rsidR="00356BDB" w:rsidRDefault="00356BDB" w:rsidP="00E30E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29A" w:rsidRPr="00D5429A" w:rsidRDefault="00D5429A">
    <w:pPr>
      <w:pStyle w:val="Header"/>
      <w:jc w:val="right"/>
      <w:rPr>
        <w:rFonts w:ascii="Times New Roman" w:hAnsi="Times New Roman" w:cs="Times New Roman"/>
        <w:sz w:val="24"/>
        <w:szCs w:val="24"/>
      </w:rPr>
    </w:pPr>
    <w:r w:rsidRPr="00D5429A">
      <w:rPr>
        <w:rFonts w:ascii="Times New Roman" w:hAnsi="Times New Roman" w:cs="Times New Roman"/>
        <w:sz w:val="24"/>
        <w:szCs w:val="24"/>
      </w:rPr>
      <w:t xml:space="preserve">Last Name </w:t>
    </w:r>
    <w:sdt>
      <w:sdtPr>
        <w:rPr>
          <w:rFonts w:ascii="Times New Roman" w:hAnsi="Times New Roman" w:cs="Times New Roman"/>
          <w:sz w:val="24"/>
          <w:szCs w:val="24"/>
        </w:rPr>
        <w:id w:val="21880905"/>
        <w:docPartObj>
          <w:docPartGallery w:val="Page Numbers (Top of Page)"/>
          <w:docPartUnique/>
        </w:docPartObj>
      </w:sdtPr>
      <w:sdtEndPr/>
      <w:sdtContent>
        <w:r w:rsidRPr="00D5429A">
          <w:rPr>
            <w:rFonts w:ascii="Times New Roman" w:hAnsi="Times New Roman" w:cs="Times New Roman"/>
            <w:sz w:val="24"/>
            <w:szCs w:val="24"/>
          </w:rPr>
          <w:fldChar w:fldCharType="begin"/>
        </w:r>
        <w:r w:rsidRPr="00D5429A">
          <w:rPr>
            <w:rFonts w:ascii="Times New Roman" w:hAnsi="Times New Roman" w:cs="Times New Roman"/>
            <w:sz w:val="24"/>
            <w:szCs w:val="24"/>
          </w:rPr>
          <w:instrText xml:space="preserve"> PAGE   \* MERGEFORMAT </w:instrText>
        </w:r>
        <w:r w:rsidRPr="00D5429A">
          <w:rPr>
            <w:rFonts w:ascii="Times New Roman" w:hAnsi="Times New Roman" w:cs="Times New Roman"/>
            <w:sz w:val="24"/>
            <w:szCs w:val="24"/>
          </w:rPr>
          <w:fldChar w:fldCharType="separate"/>
        </w:r>
        <w:r w:rsidR="00356BDB">
          <w:rPr>
            <w:rFonts w:ascii="Times New Roman" w:hAnsi="Times New Roman" w:cs="Times New Roman"/>
            <w:noProof/>
            <w:sz w:val="24"/>
            <w:szCs w:val="24"/>
          </w:rPr>
          <w:t>1</w:t>
        </w:r>
        <w:r w:rsidRPr="00D5429A">
          <w:rPr>
            <w:rFonts w:ascii="Times New Roman" w:hAnsi="Times New Roman" w:cs="Times New Roman"/>
            <w:sz w:val="24"/>
            <w:szCs w:val="24"/>
          </w:rPr>
          <w:fldChar w:fldCharType="end"/>
        </w:r>
      </w:sdtContent>
    </w:sdt>
  </w:p>
  <w:p w:rsidR="00E30E71" w:rsidRPr="00E30E71" w:rsidRDefault="00E30E71" w:rsidP="00E30E71">
    <w:pPr>
      <w:pStyle w:val="Header"/>
      <w:spacing w:line="480" w:lineRule="auto"/>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71" w:rsidRPr="00E30E71" w:rsidRDefault="00E30E71" w:rsidP="00E30E71">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C505D"/>
    <w:rsid w:val="0000108C"/>
    <w:rsid w:val="000200F9"/>
    <w:rsid w:val="00063BD5"/>
    <w:rsid w:val="000B13BA"/>
    <w:rsid w:val="000F200E"/>
    <w:rsid w:val="001A3DEF"/>
    <w:rsid w:val="001D5327"/>
    <w:rsid w:val="001E306B"/>
    <w:rsid w:val="0023640E"/>
    <w:rsid w:val="00341CAB"/>
    <w:rsid w:val="00341D8C"/>
    <w:rsid w:val="00356BDB"/>
    <w:rsid w:val="003C505D"/>
    <w:rsid w:val="00433788"/>
    <w:rsid w:val="00446F1A"/>
    <w:rsid w:val="004B4ACF"/>
    <w:rsid w:val="00552AEA"/>
    <w:rsid w:val="00557FC4"/>
    <w:rsid w:val="00560BCF"/>
    <w:rsid w:val="005658AF"/>
    <w:rsid w:val="0058386B"/>
    <w:rsid w:val="005C236C"/>
    <w:rsid w:val="005D64AC"/>
    <w:rsid w:val="006E4841"/>
    <w:rsid w:val="008617A1"/>
    <w:rsid w:val="009F3BA4"/>
    <w:rsid w:val="00AA4A09"/>
    <w:rsid w:val="00AD37B2"/>
    <w:rsid w:val="00B37851"/>
    <w:rsid w:val="00B53793"/>
    <w:rsid w:val="00B6777B"/>
    <w:rsid w:val="00C539C0"/>
    <w:rsid w:val="00CF4CA0"/>
    <w:rsid w:val="00CF6882"/>
    <w:rsid w:val="00D30AFC"/>
    <w:rsid w:val="00D5429A"/>
    <w:rsid w:val="00DB4345"/>
    <w:rsid w:val="00DF5E30"/>
    <w:rsid w:val="00E10E96"/>
    <w:rsid w:val="00E30E71"/>
    <w:rsid w:val="00EB63FD"/>
    <w:rsid w:val="00F725E4"/>
    <w:rsid w:val="00FE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E71"/>
  </w:style>
  <w:style w:type="paragraph" w:styleId="Footer">
    <w:name w:val="footer"/>
    <w:basedOn w:val="Normal"/>
    <w:link w:val="FooterChar"/>
    <w:uiPriority w:val="99"/>
    <w:unhideWhenUsed/>
    <w:rsid w:val="00E30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E71"/>
  </w:style>
  <w:style w:type="paragraph" w:styleId="NormalWeb">
    <w:name w:val="Normal (Web)"/>
    <w:basedOn w:val="Normal"/>
    <w:uiPriority w:val="99"/>
    <w:unhideWhenUsed/>
    <w:rsid w:val="00E30E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0E7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47937">
      <w:bodyDiv w:val="1"/>
      <w:marLeft w:val="0"/>
      <w:marRight w:val="0"/>
      <w:marTop w:val="0"/>
      <w:marBottom w:val="0"/>
      <w:divBdr>
        <w:top w:val="none" w:sz="0" w:space="0" w:color="auto"/>
        <w:left w:val="none" w:sz="0" w:space="0" w:color="auto"/>
        <w:bottom w:val="none" w:sz="0" w:space="0" w:color="auto"/>
        <w:right w:val="none" w:sz="0" w:space="0" w:color="auto"/>
      </w:divBdr>
      <w:divsChild>
        <w:div w:id="1788040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2019-08-19T18:55:00Z</dcterms:created>
  <dcterms:modified xsi:type="dcterms:W3CDTF">2019-08-19T18:55:00Z</dcterms:modified>
</cp:coreProperties>
</file>